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713" w:rsidRDefault="00A82713" w:rsidP="00804140">
      <w:pPr>
        <w:pStyle w:val="a7"/>
        <w:jc w:val="center"/>
        <w:rPr>
          <w:b/>
          <w:sz w:val="28"/>
          <w:szCs w:val="28"/>
        </w:rPr>
      </w:pPr>
      <w:r w:rsidRPr="00804140">
        <w:rPr>
          <w:b/>
          <w:sz w:val="28"/>
          <w:szCs w:val="28"/>
        </w:rPr>
        <w:t>Изменение платы граждан за коммунальные услуги с 1 июля 2015 года строго ограничено и находится на постоянном контроле</w:t>
      </w:r>
    </w:p>
    <w:p w:rsidR="00804140" w:rsidRPr="00804140" w:rsidRDefault="00804140" w:rsidP="00804140">
      <w:pPr>
        <w:pStyle w:val="a7"/>
        <w:jc w:val="center"/>
        <w:rPr>
          <w:b/>
          <w:sz w:val="21"/>
          <w:szCs w:val="21"/>
        </w:rPr>
      </w:pPr>
    </w:p>
    <w:p w:rsidR="00A82713" w:rsidRPr="00A76B90" w:rsidRDefault="00A82713" w:rsidP="00804140">
      <w:pPr>
        <w:pStyle w:val="a7"/>
        <w:ind w:firstLine="708"/>
        <w:jc w:val="both"/>
        <w:rPr>
          <w:color w:val="000000"/>
          <w:sz w:val="21"/>
          <w:szCs w:val="21"/>
        </w:rPr>
      </w:pPr>
      <w:hyperlink r:id="rId6" w:history="1">
        <w:r w:rsidRPr="00A76B90">
          <w:rPr>
            <w:color w:val="005784"/>
            <w:sz w:val="28"/>
            <w:u w:val="single"/>
          </w:rPr>
          <w:t>Распоряжением Губернатора Ростовской области от 28.11.2014 № 325 </w:t>
        </w:r>
      </w:hyperlink>
      <w:r w:rsidRPr="00A76B90">
        <w:rPr>
          <w:i/>
          <w:iCs/>
          <w:color w:val="000000"/>
          <w:sz w:val="28"/>
          <w:szCs w:val="28"/>
        </w:rPr>
        <w:t> </w:t>
      </w:r>
      <w:r w:rsidRPr="00A76B90">
        <w:rPr>
          <w:color w:val="000000"/>
          <w:sz w:val="28"/>
          <w:szCs w:val="28"/>
        </w:rPr>
        <w:t>утверждены предельные (максимальные) индексы изменения размера вносимой гражданами платы за коммунальные услуги на 2015 год</w:t>
      </w:r>
      <w:r w:rsidRPr="00A76B90">
        <w:rPr>
          <w:color w:val="000000"/>
          <w:sz w:val="28"/>
        </w:rPr>
        <w:t> </w:t>
      </w:r>
      <w:r w:rsidRPr="00A76B90">
        <w:rPr>
          <w:i/>
          <w:iCs/>
          <w:color w:val="000000"/>
          <w:sz w:val="28"/>
          <w:szCs w:val="28"/>
        </w:rPr>
        <w:t>дифференцированно по муниципальным образованиям</w:t>
      </w:r>
      <w:r w:rsidRPr="00A76B90">
        <w:rPr>
          <w:color w:val="000000"/>
          <w:sz w:val="28"/>
        </w:rPr>
        <w:t> </w:t>
      </w:r>
      <w:r w:rsidRPr="00A76B90">
        <w:rPr>
          <w:color w:val="000000"/>
          <w:sz w:val="28"/>
          <w:szCs w:val="28"/>
        </w:rPr>
        <w:t>Ростовской области на 1 полугодие 2015 года – 0 %, на 2 полугодие 2015 года - не более 10,8 % (с учетом субсидий из областного бюджета).</w:t>
      </w:r>
    </w:p>
    <w:p w:rsidR="00A82713" w:rsidRPr="00A76B90" w:rsidRDefault="00A82713" w:rsidP="00804140">
      <w:pPr>
        <w:pStyle w:val="a7"/>
        <w:ind w:firstLine="708"/>
        <w:jc w:val="both"/>
        <w:rPr>
          <w:color w:val="000000"/>
        </w:rPr>
      </w:pPr>
      <w:r w:rsidRPr="00A76B90">
        <w:rPr>
          <w:color w:val="000000"/>
          <w:sz w:val="28"/>
          <w:szCs w:val="28"/>
        </w:rPr>
        <w:t>Кроме того,</w:t>
      </w:r>
      <w:r w:rsidRPr="00A76B90">
        <w:rPr>
          <w:color w:val="000000"/>
          <w:sz w:val="28"/>
        </w:rPr>
        <w:t> </w:t>
      </w:r>
      <w:hyperlink r:id="rId7" w:history="1">
        <w:r w:rsidRPr="00A76B90">
          <w:rPr>
            <w:color w:val="005784"/>
            <w:sz w:val="28"/>
            <w:u w:val="single"/>
          </w:rPr>
          <w:t>постановлением Правительства </w:t>
        </w:r>
      </w:hyperlink>
      <w:hyperlink r:id="rId8" w:history="1">
        <w:r w:rsidRPr="00A76B90">
          <w:rPr>
            <w:color w:val="005784"/>
            <w:sz w:val="28"/>
            <w:u w:val="single"/>
          </w:rPr>
          <w:t>Ростовской области от 22.03.2013 № 165 (в ред. от 29.12.2014 № 882)</w:t>
        </w:r>
      </w:hyperlink>
      <w:r w:rsidRPr="00A76B90">
        <w:rPr>
          <w:color w:val="000000"/>
          <w:sz w:val="28"/>
        </w:rPr>
        <w:t> </w:t>
      </w:r>
      <w:r w:rsidRPr="00A76B90">
        <w:rPr>
          <w:color w:val="000000"/>
          <w:sz w:val="28"/>
          <w:szCs w:val="28"/>
        </w:rPr>
        <w:t>установлено, что во втором полугодии 2015 года размер платы граждан за каждый вид коммунальной услуги, за исключением электроснабжения и газоснабжения, не превышает уровня 110,8 % и (или) совокупный размер вносимой гражданами платы за коммунальные услуги не превышает предельного индекса по соответствующему муниципальному образованию.</w:t>
      </w:r>
    </w:p>
    <w:p w:rsidR="00A82713" w:rsidRPr="00A76B90" w:rsidRDefault="00A82713" w:rsidP="00804140">
      <w:pPr>
        <w:pStyle w:val="a7"/>
        <w:ind w:firstLine="708"/>
        <w:jc w:val="both"/>
        <w:rPr>
          <w:color w:val="000000"/>
        </w:rPr>
      </w:pPr>
      <w:r w:rsidRPr="00A76B90">
        <w:rPr>
          <w:color w:val="000000"/>
          <w:sz w:val="28"/>
          <w:szCs w:val="28"/>
        </w:rPr>
        <w:t>Таким образом, вне зависимости от изменения стоимости какой-либо отдельной услуги,</w:t>
      </w:r>
      <w:r w:rsidRPr="00A76B90">
        <w:rPr>
          <w:color w:val="000000"/>
          <w:sz w:val="28"/>
        </w:rPr>
        <w:t> </w:t>
      </w:r>
      <w:r w:rsidRPr="00A76B90">
        <w:rPr>
          <w:color w:val="000000"/>
          <w:sz w:val="28"/>
          <w:szCs w:val="28"/>
        </w:rPr>
        <w:t>гражданин защищен</w:t>
      </w:r>
      <w:r w:rsidRPr="00A76B90">
        <w:rPr>
          <w:color w:val="000000"/>
          <w:sz w:val="28"/>
        </w:rPr>
        <w:t> </w:t>
      </w:r>
      <w:r w:rsidRPr="00A76B90">
        <w:rPr>
          <w:color w:val="000000"/>
          <w:sz w:val="28"/>
          <w:szCs w:val="28"/>
        </w:rPr>
        <w:t>установленным Губернатором Ростовской области предельным индексом роста совокупной платы за коммунальные услуги по каждому городу и муниципальному образованию.</w:t>
      </w:r>
    </w:p>
    <w:p w:rsidR="00A82713" w:rsidRPr="00A76B90" w:rsidRDefault="00A82713" w:rsidP="00804140">
      <w:pPr>
        <w:pStyle w:val="a7"/>
        <w:jc w:val="both"/>
        <w:rPr>
          <w:color w:val="000000"/>
        </w:rPr>
      </w:pPr>
      <w:r w:rsidRPr="00A76B90">
        <w:rPr>
          <w:color w:val="000000"/>
          <w:sz w:val="28"/>
          <w:szCs w:val="28"/>
        </w:rPr>
        <w:t>В первом полугодии 2015 года повышения размера платы граждан за коммунальные услуги не было. Тарифы для населения были сохранены на уровне декабря 2014 года.</w:t>
      </w:r>
      <w:r w:rsidR="00783BAC">
        <w:rPr>
          <w:color w:val="000000"/>
          <w:sz w:val="28"/>
          <w:szCs w:val="28"/>
        </w:rPr>
        <w:t xml:space="preserve"> </w:t>
      </w:r>
      <w:r w:rsidRPr="00A76B90">
        <w:rPr>
          <w:color w:val="000000"/>
          <w:sz w:val="28"/>
          <w:szCs w:val="28"/>
        </w:rPr>
        <w:t>С 1 июля 2015 года рост стоимости коммунальных услуг  по сравнению с декабрем 2014 года при том же объеме их потребления в платежках не должен быть выше установленного предельного индекса.</w:t>
      </w:r>
    </w:p>
    <w:p w:rsidR="00A82713" w:rsidRPr="00A76B90" w:rsidRDefault="00783BAC" w:rsidP="002D651D">
      <w:pPr>
        <w:pStyle w:val="a7"/>
        <w:ind w:firstLine="708"/>
        <w:jc w:val="both"/>
        <w:rPr>
          <w:color w:val="000000"/>
        </w:rPr>
      </w:pPr>
      <w:r>
        <w:rPr>
          <w:color w:val="000000"/>
          <w:sz w:val="28"/>
          <w:szCs w:val="28"/>
        </w:rPr>
        <w:t xml:space="preserve">Для этого нужно </w:t>
      </w:r>
      <w:r w:rsidR="00A82713" w:rsidRPr="00A76B90">
        <w:rPr>
          <w:color w:val="000000"/>
          <w:sz w:val="28"/>
          <w:szCs w:val="28"/>
        </w:rPr>
        <w:t xml:space="preserve"> сложить стоимость коммунальных услуг из платежки (вода, газ,  электричество) отдельно за декабрь 2014 г. и за июль 2015 года, поделить получившуюся сумму за июль на аналогичную сумму за декабрь и умножить на 100. Затем нужно сравнить полученный индекс с установленным предельным индексом по муниципальному образованию.</w:t>
      </w:r>
    </w:p>
    <w:p w:rsidR="00A82713" w:rsidRDefault="00A82713" w:rsidP="00804140">
      <w:pPr>
        <w:pStyle w:val="a7"/>
        <w:jc w:val="both"/>
        <w:rPr>
          <w:color w:val="000000"/>
          <w:sz w:val="28"/>
          <w:szCs w:val="28"/>
        </w:rPr>
      </w:pPr>
      <w:r w:rsidRPr="00A76B90">
        <w:rPr>
          <w:color w:val="000000"/>
          <w:sz w:val="28"/>
          <w:szCs w:val="28"/>
        </w:rPr>
        <w:t>На сайте РСТ Ростовской области размещен</w:t>
      </w:r>
      <w:r w:rsidR="00F95BE1" w:rsidRPr="00A76B90">
        <w:rPr>
          <w:color w:val="000000"/>
          <w:sz w:val="28"/>
          <w:szCs w:val="28"/>
        </w:rPr>
        <w:t xml:space="preserve">  </w:t>
      </w:r>
      <w:r w:rsidRPr="00A76B90">
        <w:rPr>
          <w:color w:val="000000"/>
          <w:sz w:val="28"/>
        </w:rPr>
        <w:t> </w:t>
      </w:r>
      <w:hyperlink r:id="rId9" w:history="1">
        <w:r w:rsidRPr="00A76B90">
          <w:rPr>
            <w:color w:val="005784"/>
            <w:sz w:val="28"/>
            <w:u w:val="single"/>
          </w:rPr>
          <w:t>инфо</w:t>
        </w:r>
        <w:r w:rsidRPr="00A76B90">
          <w:rPr>
            <w:color w:val="005784"/>
            <w:sz w:val="28"/>
            <w:u w:val="single"/>
          </w:rPr>
          <w:t>р</w:t>
        </w:r>
        <w:r w:rsidRPr="00A76B90">
          <w:rPr>
            <w:color w:val="005784"/>
            <w:sz w:val="28"/>
            <w:u w:val="single"/>
          </w:rPr>
          <w:t>мационный инструмент (калькулятор)</w:t>
        </w:r>
      </w:hyperlink>
      <w:r w:rsidRPr="00A76B90">
        <w:rPr>
          <w:i/>
          <w:iCs/>
          <w:color w:val="000000"/>
          <w:sz w:val="28"/>
          <w:szCs w:val="28"/>
        </w:rPr>
        <w:t>,</w:t>
      </w:r>
      <w:r w:rsidRPr="00A76B90">
        <w:rPr>
          <w:color w:val="000000"/>
          <w:sz w:val="28"/>
        </w:rPr>
        <w:t> </w:t>
      </w:r>
      <w:r w:rsidRPr="00A76B90">
        <w:rPr>
          <w:color w:val="000000"/>
          <w:sz w:val="28"/>
          <w:szCs w:val="28"/>
        </w:rPr>
        <w:t>с помощью которого можно произвести примерный расчет платы за коммунальные услуги.</w:t>
      </w:r>
    </w:p>
    <w:p w:rsidR="00783BAC" w:rsidRDefault="00783BAC" w:rsidP="00804140">
      <w:pPr>
        <w:pStyle w:val="a7"/>
        <w:ind w:firstLine="708"/>
        <w:jc w:val="both"/>
        <w:rPr>
          <w:color w:val="000000"/>
          <w:sz w:val="28"/>
          <w:szCs w:val="28"/>
        </w:rPr>
      </w:pPr>
      <w:r w:rsidRPr="00A76B90">
        <w:rPr>
          <w:color w:val="000000"/>
          <w:sz w:val="28"/>
          <w:szCs w:val="28"/>
        </w:rPr>
        <w:t>Постановления РСТ Ростовской области по установлению тарифов на коммунальные ресурсы (электрическую энергию, холодную и горячую воду, водоотведение, газ, тепловую энергию) опубликованы в</w:t>
      </w:r>
      <w:r w:rsidRPr="00A76B90">
        <w:rPr>
          <w:color w:val="000000"/>
          <w:sz w:val="28"/>
        </w:rPr>
        <w:t> </w:t>
      </w:r>
      <w:hyperlink r:id="rId10" w:history="1">
        <w:r w:rsidRPr="00A76B90">
          <w:rPr>
            <w:color w:val="005784"/>
            <w:sz w:val="28"/>
            <w:u w:val="single"/>
          </w:rPr>
          <w:t>разделе «ТАРИФЫ»</w:t>
        </w:r>
      </w:hyperlink>
      <w:r w:rsidRPr="00A76B90">
        <w:rPr>
          <w:color w:val="000000"/>
          <w:sz w:val="28"/>
        </w:rPr>
        <w:t> </w:t>
      </w:r>
      <w:r w:rsidRPr="00A76B90">
        <w:rPr>
          <w:color w:val="000000"/>
          <w:sz w:val="28"/>
          <w:szCs w:val="28"/>
        </w:rPr>
        <w:t>на сайте РСТ.</w:t>
      </w:r>
      <w:r>
        <w:rPr>
          <w:color w:val="000000"/>
          <w:sz w:val="28"/>
          <w:szCs w:val="28"/>
        </w:rPr>
        <w:t xml:space="preserve"> </w:t>
      </w:r>
    </w:p>
    <w:p w:rsidR="00783BAC" w:rsidRPr="00A76B90" w:rsidRDefault="00783BAC" w:rsidP="00804140">
      <w:pPr>
        <w:pStyle w:val="a7"/>
        <w:ind w:firstLine="708"/>
        <w:jc w:val="both"/>
        <w:rPr>
          <w:color w:val="000000"/>
        </w:rPr>
      </w:pPr>
      <w:r w:rsidRPr="00A76B90">
        <w:rPr>
          <w:color w:val="000000"/>
          <w:sz w:val="28"/>
          <w:szCs w:val="28"/>
        </w:rPr>
        <w:t>Все тарифы установлены в рамках предельных уровней, устанавливаемых Федеральной службой по тарифам в соответствии с параметрами, одобренными Правительством РФ в прогнозе социально-экономического развития страны.</w:t>
      </w:r>
    </w:p>
    <w:p w:rsidR="00E34AEB" w:rsidRDefault="00E34AEB" w:rsidP="00804140">
      <w:pPr>
        <w:pStyle w:val="a7"/>
        <w:ind w:firstLine="708"/>
        <w:jc w:val="center"/>
        <w:rPr>
          <w:b/>
          <w:sz w:val="28"/>
          <w:szCs w:val="28"/>
        </w:rPr>
      </w:pPr>
    </w:p>
    <w:p w:rsidR="00E34AEB" w:rsidRDefault="00E34AEB" w:rsidP="00804140">
      <w:pPr>
        <w:pStyle w:val="a7"/>
        <w:ind w:firstLine="708"/>
        <w:jc w:val="center"/>
        <w:rPr>
          <w:b/>
          <w:sz w:val="28"/>
          <w:szCs w:val="28"/>
        </w:rPr>
      </w:pPr>
    </w:p>
    <w:p w:rsidR="00E34AEB" w:rsidRDefault="00E34AEB" w:rsidP="00804140">
      <w:pPr>
        <w:pStyle w:val="a7"/>
        <w:ind w:firstLine="708"/>
        <w:jc w:val="center"/>
        <w:rPr>
          <w:b/>
          <w:sz w:val="28"/>
          <w:szCs w:val="28"/>
        </w:rPr>
      </w:pPr>
    </w:p>
    <w:p w:rsidR="00E34AEB" w:rsidRDefault="00E34AEB" w:rsidP="00804140">
      <w:pPr>
        <w:pStyle w:val="a7"/>
        <w:ind w:firstLine="708"/>
        <w:jc w:val="center"/>
        <w:rPr>
          <w:b/>
          <w:sz w:val="28"/>
          <w:szCs w:val="28"/>
        </w:rPr>
      </w:pPr>
    </w:p>
    <w:p w:rsidR="00E34AEB" w:rsidRDefault="00E34AEB" w:rsidP="00804140">
      <w:pPr>
        <w:pStyle w:val="a7"/>
        <w:ind w:firstLine="708"/>
        <w:jc w:val="center"/>
        <w:rPr>
          <w:b/>
          <w:sz w:val="28"/>
          <w:szCs w:val="28"/>
        </w:rPr>
      </w:pPr>
    </w:p>
    <w:p w:rsidR="00E34AEB" w:rsidRDefault="00E34AEB" w:rsidP="00804140">
      <w:pPr>
        <w:pStyle w:val="a7"/>
        <w:ind w:firstLine="708"/>
        <w:jc w:val="center"/>
        <w:rPr>
          <w:b/>
          <w:sz w:val="28"/>
          <w:szCs w:val="28"/>
        </w:rPr>
      </w:pPr>
    </w:p>
    <w:p w:rsidR="00804140" w:rsidRDefault="00A82713" w:rsidP="00804140">
      <w:pPr>
        <w:pStyle w:val="a7"/>
        <w:ind w:firstLine="708"/>
        <w:jc w:val="center"/>
        <w:rPr>
          <w:b/>
          <w:sz w:val="28"/>
          <w:szCs w:val="28"/>
        </w:rPr>
      </w:pPr>
      <w:r w:rsidRPr="00804140">
        <w:rPr>
          <w:b/>
          <w:sz w:val="28"/>
          <w:szCs w:val="28"/>
        </w:rPr>
        <w:lastRenderedPageBreak/>
        <w:t>Пример</w:t>
      </w:r>
    </w:p>
    <w:p w:rsidR="00A82713" w:rsidRPr="00804140" w:rsidRDefault="00A82713" w:rsidP="00804140">
      <w:pPr>
        <w:pStyle w:val="a7"/>
        <w:ind w:firstLine="708"/>
        <w:jc w:val="center"/>
        <w:rPr>
          <w:b/>
        </w:rPr>
      </w:pPr>
      <w:r w:rsidRPr="00804140">
        <w:rPr>
          <w:b/>
          <w:sz w:val="28"/>
          <w:szCs w:val="28"/>
        </w:rPr>
        <w:t>расчета изменения размера платы за коммунальные услуги:</w:t>
      </w:r>
    </w:p>
    <w:p w:rsidR="00A82713" w:rsidRPr="00A76B90" w:rsidRDefault="00E34AEB" w:rsidP="00804140">
      <w:pPr>
        <w:pStyle w:val="a7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6153150" cy="4829175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354922" cy="6559865"/>
                      <a:chOff x="642912" y="0"/>
                      <a:chExt cx="8354922" cy="6559865"/>
                    </a:xfrm>
                  </a:grpSpPr>
                  <a:sp>
                    <a:nvSpPr>
                      <a:cNvPr id="6" name="TextBox 5"/>
                      <a:cNvSpPr txBox="1"/>
                    </a:nvSpPr>
                    <a:spPr>
                      <a:xfrm rot="16200000">
                        <a:off x="-188888" y="3332105"/>
                        <a:ext cx="1975429" cy="311829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400" dirty="0" smtClean="0">
                              <a:solidFill>
                                <a:srgbClr val="FF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Коммунальные услуги </a:t>
                          </a:r>
                          <a:endParaRPr lang="ru-RU" sz="1400" dirty="0">
                            <a:solidFill>
                              <a:srgbClr val="FF0000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cxnSp>
                    <a:nvCxnSpPr>
                      <a:cNvPr id="8" name="Соединительная линия уступом 7"/>
                      <a:cNvCxnSpPr/>
                    </a:nvCxnSpPr>
                    <a:spPr>
                      <a:xfrm>
                        <a:off x="1000100" y="2500306"/>
                        <a:ext cx="361890" cy="3001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10" name="Соединительная линия уступом 9"/>
                      <a:cNvCxnSpPr/>
                    </a:nvCxnSpPr>
                    <a:spPr>
                      <a:xfrm>
                        <a:off x="1000100" y="4429132"/>
                        <a:ext cx="361890" cy="288753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sp>
                    <a:nvSpPr>
                      <a:cNvPr id="11" name="TextBox 10"/>
                      <a:cNvSpPr txBox="1"/>
                    </a:nvSpPr>
                    <a:spPr>
                      <a:xfrm>
                        <a:off x="6858016" y="3143248"/>
                        <a:ext cx="857256" cy="461665"/>
                      </a:xfrm>
                      <a:prstGeom prst="rect">
                        <a:avLst/>
                      </a:prstGeom>
                      <a:noFill/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200" u="sng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3007</a:t>
                          </a:r>
                          <a:r>
                            <a:rPr lang="ru-RU" sz="1200" u="sng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,42</a:t>
                          </a:r>
                          <a:endParaRPr lang="ru-RU" sz="1200" u="sng" dirty="0" smtClean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  <a:p>
                          <a:r>
                            <a:rPr lang="ru-RU" sz="1200" dirty="0" smtClean="0">
                              <a:latin typeface="Times New Roman" pitchFamily="18" charset="0"/>
                              <a:cs typeface="Times New Roman" pitchFamily="18" charset="0"/>
                            </a:rPr>
                            <a:t>2851,56</a:t>
                          </a:r>
                          <a:endParaRPr lang="ru-RU" sz="1200" dirty="0"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2" name="TextBox 11"/>
                      <a:cNvSpPr txBox="1"/>
                    </a:nvSpPr>
                    <a:spPr>
                      <a:xfrm>
                        <a:off x="7786710" y="3286124"/>
                        <a:ext cx="550893" cy="276999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ru-RU" sz="1200" dirty="0" smtClean="0">
                              <a:solidFill>
                                <a:srgbClr val="FF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5,5 </a:t>
                          </a:r>
                          <a:r>
                            <a:rPr lang="ru-RU" sz="1200" dirty="0" smtClean="0">
                              <a:solidFill>
                                <a:srgbClr val="FF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%</a:t>
                          </a:r>
                          <a:endParaRPr lang="ru-RU" sz="1200" dirty="0">
                            <a:solidFill>
                              <a:srgbClr val="FF0000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3" name="TextBox 12"/>
                      <a:cNvSpPr txBox="1"/>
                    </a:nvSpPr>
                    <a:spPr>
                      <a:xfrm>
                        <a:off x="7643833" y="2357430"/>
                        <a:ext cx="1035003" cy="839725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200" dirty="0" smtClean="0">
                              <a:solidFill>
                                <a:srgbClr val="FF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Индекс </a:t>
                          </a:r>
                        </a:p>
                        <a:p>
                          <a:pPr algn="ctr"/>
                          <a:r>
                            <a:rPr lang="ru-RU" sz="1200" dirty="0" smtClean="0">
                              <a:solidFill>
                                <a:srgbClr val="FF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роста платы </a:t>
                          </a:r>
                        </a:p>
                        <a:p>
                          <a:pPr algn="ctr"/>
                          <a:r>
                            <a:rPr lang="ru-RU" sz="1200" dirty="0" smtClean="0">
                              <a:solidFill>
                                <a:srgbClr val="FF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граждан за</a:t>
                          </a:r>
                        </a:p>
                        <a:p>
                          <a:pPr algn="ctr"/>
                          <a:r>
                            <a:rPr lang="ru-RU" sz="1200" dirty="0" smtClean="0">
                              <a:solidFill>
                                <a:srgbClr val="FF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КУ</a:t>
                          </a:r>
                          <a:endParaRPr lang="ru-RU" sz="1200" dirty="0">
                            <a:solidFill>
                              <a:srgbClr val="FF0000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9" name="TextBox 8"/>
                      <a:cNvSpPr txBox="1"/>
                    </a:nvSpPr>
                    <a:spPr>
                      <a:xfrm>
                        <a:off x="7143768" y="3786190"/>
                        <a:ext cx="1854066" cy="466514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</a:spPr>
                    <a:txSp>
                      <a:txBody>
                        <a:bodyPr wrap="square" rtlCol="0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r>
                            <a:rPr lang="ru-RU" sz="1200" dirty="0" smtClean="0">
                              <a:solidFill>
                                <a:srgbClr val="FF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При неизменном объеме </a:t>
                          </a:r>
                        </a:p>
                        <a:p>
                          <a:pPr algn="ctr"/>
                          <a:r>
                            <a:rPr lang="ru-RU" sz="1200" dirty="0" smtClean="0">
                              <a:solidFill>
                                <a:srgbClr val="FF00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потребленных услуг</a:t>
                          </a:r>
                          <a:endParaRPr lang="ru-RU" sz="1200" dirty="0">
                            <a:solidFill>
                              <a:srgbClr val="FF0000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  <a:sp>
                    <a:nvSpPr>
                      <a:cNvPr id="14" name="Правая фигурная скобка 13"/>
                      <a:cNvSpPr/>
                    </a:nvSpPr>
                    <a:spPr>
                      <a:xfrm>
                        <a:off x="6858016" y="1000109"/>
                        <a:ext cx="217134" cy="2016770"/>
                      </a:xfrm>
                      <a:prstGeom prst="rightBrac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sp>
                    <a:nvSpPr>
                      <a:cNvPr id="15" name="Правая фигурная скобка 14"/>
                      <a:cNvSpPr/>
                    </a:nvSpPr>
                    <a:spPr>
                      <a:xfrm>
                        <a:off x="6858016" y="4071942"/>
                        <a:ext cx="217134" cy="2071702"/>
                      </a:xfrm>
                      <a:prstGeom prst="rightBrace">
                        <a:avLst/>
                      </a:prstGeom>
                    </a:spPr>
                    <a:txSp>
                      <a:txBody>
                        <a:bodyPr rtlCol="0" anchor="ctr"/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 algn="ctr"/>
                          <a:endParaRPr lang="ru-RU"/>
                        </a:p>
                      </a:txBody>
                      <a:useSpRect/>
                    </a:txSp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sp>
                  <a:cxnSp>
                    <a:nvCxnSpPr>
                      <a:cNvPr id="19" name="Соединительная линия уступом 18"/>
                      <a:cNvCxnSpPr>
                        <a:endCxn id="11" idx="0"/>
                      </a:cNvCxnSpPr>
                    </a:nvCxnSpPr>
                    <a:spPr>
                      <a:xfrm rot="16200000" flipH="1">
                        <a:off x="6643703" y="2500307"/>
                        <a:ext cx="1143006" cy="142876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1" name="Соединительная линия уступом 20"/>
                      <a:cNvCxnSpPr>
                        <a:endCxn id="11" idx="2"/>
                      </a:cNvCxnSpPr>
                    </a:nvCxnSpPr>
                    <a:spPr>
                      <a:xfrm rot="5400000" flipH="1" flipV="1">
                        <a:off x="6481623" y="4267059"/>
                        <a:ext cx="1467166" cy="142875"/>
                      </a:xfrm>
                      <a:prstGeom prst="bentConnector3">
                        <a:avLst>
                          <a:gd name="adj1" fmla="val 50000"/>
                        </a:avLst>
                      </a:prstGeom>
                      <a:ln>
                        <a:tailEnd type="arrow"/>
                      </a:ln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3" name="Прямая соединительная линия 22"/>
                      <a:cNvCxnSpPr/>
                    </a:nvCxnSpPr>
                    <a:spPr>
                      <a:xfrm>
                        <a:off x="7143768" y="2216142"/>
                        <a:ext cx="1880" cy="17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cxnSp>
                    <a:nvCxnSpPr>
                      <a:cNvPr id="25" name="Прямая соединительная линия 24"/>
                      <a:cNvCxnSpPr/>
                    </a:nvCxnSpPr>
                    <a:spPr>
                      <a:xfrm rot="16200000" flipH="1">
                        <a:off x="7036706" y="4821946"/>
                        <a:ext cx="72188" cy="940"/>
                      </a:xfrm>
                      <a:prstGeom prst="line">
                        <a:avLst/>
                      </a:prstGeom>
                    </a:spPr>
                    <a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a:style>
                  </a:cxnSp>
                  <a:pic>
                    <a:nvPicPr>
                      <a:cNvPr id="17" name="table"/>
                      <a:cNvPicPr>
                        <a:picLocks noChangeAspect="1"/>
                      </a:cNvPicPr>
                    </a:nvPicPr>
                    <a:blipFill>
                      <a:blip r:embed="rId11"/>
                      <a:stretch>
                        <a:fillRect/>
                      </a:stretch>
                    </a:blipFill>
                    <a:spPr>
                      <a:xfrm>
                        <a:off x="1571604" y="0"/>
                        <a:ext cx="5358848" cy="6559865"/>
                      </a:xfrm>
                      <a:prstGeom prst="rect">
                        <a:avLst/>
                      </a:prstGeom>
                    </a:spPr>
                  </a:pic>
                </lc:lockedCanvas>
              </a:graphicData>
            </a:graphic>
          </wp:inline>
        </w:drawing>
      </w:r>
    </w:p>
    <w:p w:rsidR="00A82713" w:rsidRPr="00A76B90" w:rsidRDefault="00A82713" w:rsidP="00804140">
      <w:pPr>
        <w:pStyle w:val="a7"/>
        <w:jc w:val="both"/>
        <w:rPr>
          <w:color w:val="000000"/>
        </w:rPr>
      </w:pPr>
      <w:r w:rsidRPr="00A76B90">
        <w:rPr>
          <w:color w:val="000000"/>
          <w:sz w:val="28"/>
          <w:szCs w:val="28"/>
        </w:rPr>
        <w:t> </w:t>
      </w:r>
    </w:p>
    <w:p w:rsidR="00A82713" w:rsidRPr="00A76B90" w:rsidRDefault="00A82713" w:rsidP="00804140">
      <w:pPr>
        <w:pStyle w:val="a7"/>
        <w:jc w:val="both"/>
        <w:rPr>
          <w:color w:val="000000"/>
        </w:rPr>
      </w:pPr>
      <w:r w:rsidRPr="00A76B90">
        <w:rPr>
          <w:color w:val="000000"/>
          <w:sz w:val="28"/>
          <w:szCs w:val="28"/>
        </w:rPr>
        <w:t> </w:t>
      </w:r>
      <w:r w:rsidR="00804140">
        <w:rPr>
          <w:color w:val="000000"/>
          <w:sz w:val="28"/>
          <w:szCs w:val="28"/>
        </w:rPr>
        <w:tab/>
      </w:r>
      <w:r w:rsidRPr="00A76B90">
        <w:rPr>
          <w:color w:val="000000"/>
          <w:sz w:val="28"/>
          <w:szCs w:val="28"/>
        </w:rPr>
        <w:t xml:space="preserve">С 1 июля 2015 года по </w:t>
      </w:r>
      <w:r w:rsidR="00E34AEB">
        <w:rPr>
          <w:color w:val="FF0000"/>
          <w:sz w:val="28"/>
          <w:szCs w:val="28"/>
        </w:rPr>
        <w:t>Ремонтнен</w:t>
      </w:r>
      <w:r w:rsidR="00C16E32" w:rsidRPr="002D651D">
        <w:rPr>
          <w:color w:val="FF0000"/>
          <w:sz w:val="28"/>
          <w:szCs w:val="28"/>
        </w:rPr>
        <w:t xml:space="preserve">скому </w:t>
      </w:r>
      <w:r w:rsidR="00C16E32" w:rsidRPr="00A76B90">
        <w:rPr>
          <w:color w:val="000000"/>
          <w:sz w:val="28"/>
          <w:szCs w:val="28"/>
        </w:rPr>
        <w:t>сельскому поселению</w:t>
      </w:r>
      <w:r w:rsidRPr="00A76B90">
        <w:rPr>
          <w:color w:val="000000"/>
          <w:sz w:val="28"/>
          <w:szCs w:val="28"/>
        </w:rPr>
        <w:t>:</w:t>
      </w:r>
    </w:p>
    <w:p w:rsidR="00A82713" w:rsidRPr="00A76B90" w:rsidRDefault="00A82713" w:rsidP="00804140">
      <w:pPr>
        <w:pStyle w:val="a7"/>
        <w:ind w:firstLine="708"/>
        <w:jc w:val="both"/>
        <w:rPr>
          <w:color w:val="000000"/>
          <w:sz w:val="28"/>
          <w:szCs w:val="28"/>
        </w:rPr>
      </w:pPr>
      <w:r w:rsidRPr="00A76B90">
        <w:rPr>
          <w:color w:val="000000"/>
          <w:sz w:val="28"/>
          <w:szCs w:val="28"/>
        </w:rPr>
        <w:t>- тарифы в сфере холодного водоснабжения</w:t>
      </w:r>
      <w:r w:rsidR="00D04504" w:rsidRPr="00A76B90">
        <w:rPr>
          <w:color w:val="000000"/>
          <w:sz w:val="28"/>
          <w:szCs w:val="28"/>
        </w:rPr>
        <w:t xml:space="preserve"> </w:t>
      </w:r>
      <w:r w:rsidRPr="00A76B90">
        <w:rPr>
          <w:color w:val="000000"/>
          <w:sz w:val="28"/>
          <w:szCs w:val="28"/>
        </w:rPr>
        <w:t xml:space="preserve"> увеличатся на </w:t>
      </w:r>
      <w:r w:rsidR="00D04504" w:rsidRPr="00A76B90">
        <w:rPr>
          <w:color w:val="000000"/>
          <w:sz w:val="28"/>
          <w:szCs w:val="28"/>
        </w:rPr>
        <w:t>6,</w:t>
      </w:r>
      <w:r w:rsidR="00E34AEB">
        <w:rPr>
          <w:color w:val="000000"/>
          <w:sz w:val="28"/>
          <w:szCs w:val="28"/>
        </w:rPr>
        <w:t>06</w:t>
      </w:r>
      <w:r w:rsidRPr="00A76B90">
        <w:rPr>
          <w:color w:val="000000"/>
          <w:sz w:val="28"/>
          <w:szCs w:val="28"/>
        </w:rPr>
        <w:t xml:space="preserve"> % по сравнению с 1 полугодием 2015 года;</w:t>
      </w:r>
    </w:p>
    <w:p w:rsidR="00D04504" w:rsidRPr="00A76B90" w:rsidRDefault="00D04504" w:rsidP="00804140">
      <w:pPr>
        <w:pStyle w:val="a7"/>
        <w:ind w:firstLine="708"/>
        <w:jc w:val="both"/>
        <w:rPr>
          <w:color w:val="000000"/>
        </w:rPr>
      </w:pPr>
      <w:r w:rsidRPr="00A76B90">
        <w:rPr>
          <w:color w:val="000000"/>
          <w:sz w:val="28"/>
          <w:szCs w:val="28"/>
        </w:rPr>
        <w:t>- тарифы в сфере газоснабжения  увеличатся на 7,5 % по сравнению с 1 полугодием 2015 года;</w:t>
      </w:r>
    </w:p>
    <w:p w:rsidR="00E34AEB" w:rsidRPr="00A76B90" w:rsidRDefault="00E34AEB" w:rsidP="00E34AEB">
      <w:pPr>
        <w:pStyle w:val="a7"/>
        <w:ind w:firstLine="708"/>
        <w:jc w:val="both"/>
        <w:rPr>
          <w:color w:val="000000"/>
        </w:rPr>
      </w:pPr>
      <w:r w:rsidRPr="00A76B90">
        <w:rPr>
          <w:color w:val="000000"/>
          <w:sz w:val="28"/>
          <w:szCs w:val="28"/>
        </w:rPr>
        <w:t>- тарифы в сфере</w:t>
      </w:r>
      <w:r>
        <w:rPr>
          <w:color w:val="000000"/>
          <w:sz w:val="28"/>
          <w:szCs w:val="28"/>
        </w:rPr>
        <w:t xml:space="preserve"> отопление твердым топливом </w:t>
      </w:r>
      <w:r w:rsidRPr="00A76B90">
        <w:rPr>
          <w:color w:val="000000"/>
          <w:sz w:val="28"/>
          <w:szCs w:val="28"/>
        </w:rPr>
        <w:t xml:space="preserve">  увеличатся на 7,5 % по сравнению с 1 полугодием 2015 года;</w:t>
      </w:r>
    </w:p>
    <w:p w:rsidR="00A82713" w:rsidRPr="00A76B90" w:rsidRDefault="00A82713" w:rsidP="00804140">
      <w:pPr>
        <w:pStyle w:val="a7"/>
        <w:ind w:firstLine="708"/>
        <w:jc w:val="both"/>
        <w:rPr>
          <w:color w:val="000000"/>
        </w:rPr>
      </w:pPr>
      <w:r w:rsidRPr="00A76B90">
        <w:rPr>
          <w:color w:val="000000"/>
          <w:sz w:val="28"/>
          <w:szCs w:val="28"/>
        </w:rPr>
        <w:t>- тариф на электрическую энергию в пределах социальной нормы не изменится по сравнению с сентябрем 2013 года и составит:</w:t>
      </w:r>
    </w:p>
    <w:p w:rsidR="00A82713" w:rsidRPr="00A76B90" w:rsidRDefault="00A82713" w:rsidP="00804140">
      <w:pPr>
        <w:pStyle w:val="a7"/>
        <w:jc w:val="both"/>
        <w:rPr>
          <w:color w:val="000000"/>
        </w:rPr>
      </w:pPr>
      <w:r w:rsidRPr="00A76B90">
        <w:rPr>
          <w:color w:val="000000"/>
          <w:sz w:val="28"/>
          <w:szCs w:val="28"/>
        </w:rPr>
        <w:t>•  2,45 - руб./кВтч -  для сельского населения;</w:t>
      </w:r>
    </w:p>
    <w:p w:rsidR="00A82713" w:rsidRPr="00A76B90" w:rsidRDefault="00A82713" w:rsidP="00804140">
      <w:pPr>
        <w:pStyle w:val="a7"/>
        <w:ind w:firstLine="708"/>
        <w:jc w:val="both"/>
        <w:rPr>
          <w:color w:val="000000"/>
        </w:rPr>
      </w:pPr>
      <w:r w:rsidRPr="00A76B90">
        <w:rPr>
          <w:color w:val="000000"/>
          <w:sz w:val="28"/>
          <w:szCs w:val="28"/>
        </w:rPr>
        <w:t>- тариф на электрическую энергию сверх социальной нормы увеличится  на 10,6% по сравнению с 1 полугодием 2015 года:</w:t>
      </w:r>
    </w:p>
    <w:p w:rsidR="00A82713" w:rsidRPr="00A76B90" w:rsidRDefault="00A82713" w:rsidP="00804140">
      <w:pPr>
        <w:pStyle w:val="a7"/>
        <w:jc w:val="both"/>
        <w:rPr>
          <w:color w:val="000000"/>
        </w:rPr>
      </w:pPr>
      <w:r w:rsidRPr="00A76B90">
        <w:rPr>
          <w:color w:val="000000"/>
          <w:sz w:val="28"/>
          <w:szCs w:val="28"/>
        </w:rPr>
        <w:t>•  3,43 руб./кВтч -  для сельского населения;</w:t>
      </w:r>
    </w:p>
    <w:p w:rsidR="00A82713" w:rsidRPr="00A76B90" w:rsidRDefault="00A82713" w:rsidP="00804140">
      <w:pPr>
        <w:pStyle w:val="a7"/>
        <w:jc w:val="both"/>
        <w:rPr>
          <w:color w:val="000000"/>
        </w:rPr>
      </w:pPr>
      <w:r w:rsidRPr="00A76B90">
        <w:rPr>
          <w:color w:val="000000"/>
        </w:rPr>
        <w:t> </w:t>
      </w:r>
    </w:p>
    <w:p w:rsidR="00A82713" w:rsidRPr="00A76B90" w:rsidRDefault="00A82713" w:rsidP="00804140">
      <w:pPr>
        <w:pStyle w:val="a7"/>
        <w:ind w:firstLine="708"/>
        <w:jc w:val="both"/>
        <w:rPr>
          <w:color w:val="000000"/>
        </w:rPr>
      </w:pPr>
      <w:r w:rsidRPr="00A76B90">
        <w:rPr>
          <w:color w:val="000000"/>
          <w:sz w:val="28"/>
          <w:szCs w:val="28"/>
        </w:rPr>
        <w:t>Контроль за правильностью начисления платы граждан за коммунальные услуги осуществляет</w:t>
      </w:r>
      <w:r w:rsidRPr="00A76B90">
        <w:rPr>
          <w:color w:val="000000"/>
          <w:sz w:val="28"/>
        </w:rPr>
        <w:t> </w:t>
      </w:r>
      <w:hyperlink r:id="rId12" w:history="1">
        <w:r w:rsidRPr="00A76B90">
          <w:rPr>
            <w:color w:val="005784"/>
            <w:sz w:val="28"/>
            <w:u w:val="single"/>
          </w:rPr>
          <w:t>Государственная жилищная инспекция Ростовской области</w:t>
        </w:r>
        <w:r w:rsidRPr="00A76B90">
          <w:rPr>
            <w:i/>
            <w:iCs/>
            <w:color w:val="005784"/>
            <w:sz w:val="28"/>
            <w:u w:val="single"/>
          </w:rPr>
          <w:t>, </w:t>
        </w:r>
      </w:hyperlink>
      <w:r w:rsidRPr="00A76B90">
        <w:rPr>
          <w:color w:val="000000"/>
          <w:sz w:val="28"/>
          <w:szCs w:val="28"/>
        </w:rPr>
        <w:t>тел. «горячей линии» для проживающих на территории Ростовской области -  (863) 210-22-30.</w:t>
      </w:r>
    </w:p>
    <w:p w:rsidR="00A82713" w:rsidRPr="00A76B90" w:rsidRDefault="00A82713" w:rsidP="00804140">
      <w:pPr>
        <w:pStyle w:val="a7"/>
        <w:ind w:firstLine="708"/>
        <w:jc w:val="both"/>
        <w:rPr>
          <w:color w:val="000000"/>
        </w:rPr>
      </w:pPr>
      <w:r w:rsidRPr="00A76B90">
        <w:rPr>
          <w:color w:val="000000"/>
          <w:sz w:val="28"/>
          <w:szCs w:val="28"/>
        </w:rPr>
        <w:t xml:space="preserve">Коммунальные услуги как жизненно важные должны быть доступны для всех. Поэтому наряду с государственным регулированием тарифов, </w:t>
      </w:r>
      <w:r w:rsidRPr="00A76B90">
        <w:rPr>
          <w:color w:val="000000"/>
          <w:sz w:val="28"/>
          <w:szCs w:val="28"/>
        </w:rPr>
        <w:lastRenderedPageBreak/>
        <w:t>ограничением платы граждан за коммунальные услуги и контролем за величиной затрат коммунальных предприятий реализуются меры социальной адресной поддержки  нуждающихся граждан и семей.</w:t>
      </w:r>
    </w:p>
    <w:p w:rsidR="00A82713" w:rsidRPr="00A76B90" w:rsidRDefault="00A82713" w:rsidP="00804140">
      <w:pPr>
        <w:pStyle w:val="a7"/>
        <w:ind w:firstLine="708"/>
        <w:jc w:val="both"/>
        <w:rPr>
          <w:color w:val="000000"/>
        </w:rPr>
      </w:pPr>
      <w:r w:rsidRPr="00A76B90">
        <w:rPr>
          <w:color w:val="000000"/>
          <w:sz w:val="28"/>
          <w:szCs w:val="28"/>
        </w:rPr>
        <w:t xml:space="preserve">Вне зависимости от величины изменения платежа за коммунальные услуги, при наличии законодательно установленных оснований можно обращаться </w:t>
      </w:r>
      <w:r w:rsidRPr="00804140">
        <w:rPr>
          <w:color w:val="000000"/>
          <w:sz w:val="28"/>
          <w:szCs w:val="28"/>
        </w:rPr>
        <w:t>в органы социальной защиты по месту жительства</w:t>
      </w:r>
      <w:r w:rsidRPr="00A76B90">
        <w:rPr>
          <w:color w:val="000000"/>
          <w:sz w:val="28"/>
          <w:szCs w:val="28"/>
        </w:rPr>
        <w:t xml:space="preserve"> за начислением адресных социальных выплат и субсидий по оплате жилищно-коммунальных услуг.</w:t>
      </w:r>
    </w:p>
    <w:p w:rsidR="00A82713" w:rsidRPr="00A76B90" w:rsidRDefault="00A82713" w:rsidP="00804140">
      <w:pPr>
        <w:pStyle w:val="a7"/>
        <w:ind w:firstLine="708"/>
        <w:jc w:val="both"/>
        <w:rPr>
          <w:color w:val="000000"/>
        </w:rPr>
      </w:pPr>
      <w:r w:rsidRPr="00A76B90">
        <w:rPr>
          <w:color w:val="000000"/>
          <w:sz w:val="28"/>
          <w:szCs w:val="28"/>
        </w:rPr>
        <w:t>В Ростовской области</w:t>
      </w:r>
      <w:r w:rsidRPr="00A76B90">
        <w:rPr>
          <w:color w:val="000000"/>
          <w:sz w:val="28"/>
        </w:rPr>
        <w:t> </w:t>
      </w:r>
      <w:r w:rsidRPr="00A76B90">
        <w:rPr>
          <w:color w:val="000000"/>
          <w:sz w:val="28"/>
          <w:szCs w:val="28"/>
        </w:rPr>
        <w:t>в 2015 году действуют следующие</w:t>
      </w:r>
      <w:r w:rsidRPr="00A76B90">
        <w:rPr>
          <w:color w:val="000000"/>
          <w:sz w:val="28"/>
        </w:rPr>
        <w:t> </w:t>
      </w:r>
      <w:r w:rsidRPr="00A76B90">
        <w:rPr>
          <w:color w:val="000000"/>
          <w:sz w:val="28"/>
          <w:szCs w:val="28"/>
        </w:rPr>
        <w:t>меры социальной защиты граждан:</w:t>
      </w:r>
    </w:p>
    <w:p w:rsidR="00A82713" w:rsidRPr="00A76B90" w:rsidRDefault="00A82713" w:rsidP="00804140">
      <w:pPr>
        <w:pStyle w:val="a7"/>
        <w:ind w:firstLine="708"/>
        <w:jc w:val="both"/>
        <w:rPr>
          <w:color w:val="000000"/>
        </w:rPr>
      </w:pPr>
      <w:r w:rsidRPr="00A76B90">
        <w:rPr>
          <w:color w:val="000000"/>
          <w:sz w:val="28"/>
          <w:szCs w:val="28"/>
        </w:rPr>
        <w:t>- предоставление гражданам</w:t>
      </w:r>
      <w:r w:rsidRPr="00A76B90">
        <w:rPr>
          <w:color w:val="000000"/>
          <w:sz w:val="28"/>
        </w:rPr>
        <w:t> </w:t>
      </w:r>
      <w:r w:rsidRPr="00A76B90">
        <w:rPr>
          <w:color w:val="000000"/>
          <w:sz w:val="28"/>
          <w:szCs w:val="28"/>
          <w:u w:val="single"/>
        </w:rPr>
        <w:t>адресных социальных выплат на холодное водоснабжение и водоотведение.</w:t>
      </w:r>
      <w:r w:rsidRPr="00A76B90">
        <w:rPr>
          <w:color w:val="000000"/>
          <w:sz w:val="28"/>
          <w:u w:val="single"/>
        </w:rPr>
        <w:t> </w:t>
      </w:r>
      <w:r w:rsidRPr="00A76B90">
        <w:rPr>
          <w:color w:val="000000"/>
          <w:sz w:val="28"/>
          <w:szCs w:val="28"/>
        </w:rPr>
        <w:t>На территории области действуют установленные постановлением Правительства Ростовской области от 30.12.2011 №311 критерии доступности платы граждан по холодной воде:   40 руб. за</w:t>
      </w:r>
      <w:r w:rsidRPr="00A76B90">
        <w:rPr>
          <w:color w:val="000000"/>
          <w:sz w:val="28"/>
        </w:rPr>
        <w:t> </w:t>
      </w:r>
      <w:r w:rsidRPr="00A76B90">
        <w:rPr>
          <w:color w:val="000000"/>
          <w:sz w:val="28"/>
          <w:szCs w:val="28"/>
        </w:rPr>
        <w:t xml:space="preserve">1 м³. То есть, если в платежке у гражданина указан тариф </w:t>
      </w:r>
      <w:r w:rsidR="00A76B90" w:rsidRPr="00A76B90">
        <w:rPr>
          <w:color w:val="000000"/>
          <w:sz w:val="28"/>
          <w:szCs w:val="28"/>
        </w:rPr>
        <w:t>на холодную воду выше 40 рублей</w:t>
      </w:r>
      <w:r w:rsidRPr="00A76B90">
        <w:rPr>
          <w:color w:val="000000"/>
          <w:sz w:val="28"/>
          <w:szCs w:val="28"/>
        </w:rPr>
        <w:t>, гражданин имеет право на получение адресной социальной выплаты. Размер выплаты определяется как произведение разницы между установленным тарифом на коммунальные услуги по водоснабжению (водоотведению) для населения и предельным уровнем тарифов на фактическое потребление данных коммунальных услуг, но не более социальной нормы потребления.</w:t>
      </w:r>
    </w:p>
    <w:p w:rsidR="00A82713" w:rsidRPr="00A76B90" w:rsidRDefault="00A82713" w:rsidP="00804140">
      <w:pPr>
        <w:pStyle w:val="a7"/>
        <w:ind w:firstLine="708"/>
        <w:jc w:val="both"/>
        <w:rPr>
          <w:color w:val="000000"/>
        </w:rPr>
      </w:pPr>
      <w:r w:rsidRPr="00A76B90">
        <w:rPr>
          <w:color w:val="000000"/>
          <w:sz w:val="28"/>
          <w:szCs w:val="28"/>
        </w:rPr>
        <w:t>- предоставление</w:t>
      </w:r>
      <w:r w:rsidRPr="00A76B90">
        <w:rPr>
          <w:color w:val="000000"/>
          <w:sz w:val="28"/>
        </w:rPr>
        <w:t> </w:t>
      </w:r>
      <w:r w:rsidRPr="00A76B90">
        <w:rPr>
          <w:color w:val="000000"/>
          <w:sz w:val="28"/>
          <w:szCs w:val="28"/>
          <w:u w:val="single"/>
        </w:rPr>
        <w:t>выплат в связи с превышением установленной максимально допустимой доли расходов граждан</w:t>
      </w:r>
      <w:r w:rsidRPr="00A76B90">
        <w:rPr>
          <w:color w:val="000000"/>
          <w:sz w:val="28"/>
        </w:rPr>
        <w:t> </w:t>
      </w:r>
      <w:r w:rsidRPr="00A76B90">
        <w:rPr>
          <w:color w:val="000000"/>
          <w:sz w:val="28"/>
          <w:szCs w:val="28"/>
        </w:rPr>
        <w:t>на оплату жилья и коммунальных услуг в совокупном доходе семьи. В Ростовской области максимально допустимая доля расходов установлена в размере 15% от совокупного дохода семьи (на федеральном уровне  - 22%).</w:t>
      </w:r>
    </w:p>
    <w:p w:rsidR="00A82713" w:rsidRDefault="00A82713" w:rsidP="00804140">
      <w:pPr>
        <w:pStyle w:val="a7"/>
        <w:ind w:firstLine="708"/>
        <w:jc w:val="both"/>
        <w:rPr>
          <w:color w:val="000000"/>
          <w:sz w:val="28"/>
          <w:szCs w:val="28"/>
        </w:rPr>
      </w:pPr>
      <w:r w:rsidRPr="00A76B90">
        <w:rPr>
          <w:color w:val="000000"/>
          <w:sz w:val="28"/>
          <w:szCs w:val="28"/>
        </w:rPr>
        <w:t> Все принятые решения направлены на защиту граждан от резкого роста стоимости коммунальных услуг.</w:t>
      </w:r>
    </w:p>
    <w:p w:rsidR="00660067" w:rsidRPr="00DA7C39" w:rsidRDefault="00660067" w:rsidP="00804140">
      <w:pPr>
        <w:pStyle w:val="a7"/>
        <w:ind w:firstLine="708"/>
        <w:jc w:val="both"/>
        <w:rPr>
          <w:color w:val="000000"/>
          <w:sz w:val="28"/>
          <w:szCs w:val="28"/>
        </w:rPr>
      </w:pPr>
      <w:hyperlink r:id="rId13" w:history="1">
        <w:r w:rsidRPr="00DA7C39">
          <w:rPr>
            <w:rStyle w:val="a3"/>
            <w:sz w:val="28"/>
            <w:szCs w:val="28"/>
          </w:rPr>
          <w:t xml:space="preserve">См. </w:t>
        </w:r>
        <w:r w:rsidR="00DA7C39" w:rsidRPr="00DA7C39">
          <w:rPr>
            <w:rStyle w:val="a3"/>
            <w:sz w:val="28"/>
            <w:szCs w:val="28"/>
          </w:rPr>
          <w:t>т</w:t>
        </w:r>
        <w:r w:rsidRPr="00DA7C39">
          <w:rPr>
            <w:rStyle w:val="a3"/>
            <w:sz w:val="28"/>
            <w:szCs w:val="28"/>
          </w:rPr>
          <w:t xml:space="preserve">акже пресс-релиз РСТ Ростовской области об изменении размера платы граждан с 1 июля 2015 года </w:t>
        </w:r>
      </w:hyperlink>
      <w:r w:rsidRPr="00DA7C39">
        <w:rPr>
          <w:color w:val="000000"/>
          <w:sz w:val="28"/>
          <w:szCs w:val="28"/>
        </w:rPr>
        <w:t xml:space="preserve"> </w:t>
      </w:r>
    </w:p>
    <w:p w:rsidR="00A82713" w:rsidRPr="00DA7C39" w:rsidRDefault="00A82713" w:rsidP="00804140">
      <w:pPr>
        <w:pStyle w:val="a7"/>
        <w:ind w:firstLine="708"/>
        <w:jc w:val="both"/>
        <w:rPr>
          <w:color w:val="000000"/>
          <w:sz w:val="28"/>
          <w:szCs w:val="28"/>
        </w:rPr>
      </w:pPr>
      <w:r w:rsidRPr="00DA7C39">
        <w:rPr>
          <w:color w:val="000000"/>
          <w:sz w:val="28"/>
          <w:szCs w:val="28"/>
        </w:rPr>
        <w:t> </w:t>
      </w:r>
      <w:hyperlink r:id="rId14" w:history="1">
        <w:r w:rsidRPr="00DA7C39">
          <w:rPr>
            <w:iCs/>
            <w:color w:val="005784"/>
            <w:sz w:val="28"/>
            <w:szCs w:val="28"/>
            <w:u w:val="single"/>
          </w:rPr>
          <w:t> См. также пресс-релиз ФСТ России об изменении размера платы граждан с 1 июля 2015 года</w:t>
        </w:r>
      </w:hyperlink>
    </w:p>
    <w:p w:rsidR="00A82713" w:rsidRPr="00A76B90" w:rsidRDefault="00A82713" w:rsidP="00804140">
      <w:pPr>
        <w:pStyle w:val="a7"/>
        <w:jc w:val="both"/>
        <w:rPr>
          <w:color w:val="000000"/>
          <w:sz w:val="28"/>
          <w:szCs w:val="28"/>
        </w:rPr>
      </w:pPr>
    </w:p>
    <w:p w:rsidR="00A82713" w:rsidRPr="00A76B90" w:rsidRDefault="00A82713" w:rsidP="00804140">
      <w:pPr>
        <w:pStyle w:val="a7"/>
        <w:jc w:val="both"/>
        <w:rPr>
          <w:color w:val="000000"/>
          <w:sz w:val="28"/>
          <w:szCs w:val="28"/>
        </w:rPr>
      </w:pPr>
    </w:p>
    <w:sectPr w:rsidR="00A82713" w:rsidRPr="00A76B90" w:rsidSect="007368C4"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2F656C"/>
    <w:multiLevelType w:val="hybridMultilevel"/>
    <w:tmpl w:val="4F3C179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0D276A1"/>
    <w:multiLevelType w:val="hybridMultilevel"/>
    <w:tmpl w:val="9CD899F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7C4F34AC"/>
    <w:multiLevelType w:val="multilevel"/>
    <w:tmpl w:val="9CD899F8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/>
  <w:rsids>
    <w:rsidRoot w:val="00080418"/>
    <w:rsid w:val="00022293"/>
    <w:rsid w:val="00042F73"/>
    <w:rsid w:val="00080418"/>
    <w:rsid w:val="00080FF9"/>
    <w:rsid w:val="000F27E2"/>
    <w:rsid w:val="000F69AB"/>
    <w:rsid w:val="001F2912"/>
    <w:rsid w:val="00243DC5"/>
    <w:rsid w:val="00264F9C"/>
    <w:rsid w:val="00281CC7"/>
    <w:rsid w:val="0029760B"/>
    <w:rsid w:val="002A201C"/>
    <w:rsid w:val="002A3B81"/>
    <w:rsid w:val="002D651D"/>
    <w:rsid w:val="00392BD5"/>
    <w:rsid w:val="00397404"/>
    <w:rsid w:val="00400322"/>
    <w:rsid w:val="00476B8A"/>
    <w:rsid w:val="005325E7"/>
    <w:rsid w:val="005611AF"/>
    <w:rsid w:val="00591807"/>
    <w:rsid w:val="005934CD"/>
    <w:rsid w:val="005C0225"/>
    <w:rsid w:val="005D1690"/>
    <w:rsid w:val="005D4846"/>
    <w:rsid w:val="00613EB2"/>
    <w:rsid w:val="00660067"/>
    <w:rsid w:val="0069466D"/>
    <w:rsid w:val="006A7894"/>
    <w:rsid w:val="006E7CE2"/>
    <w:rsid w:val="007368C4"/>
    <w:rsid w:val="007808D2"/>
    <w:rsid w:val="00783BAC"/>
    <w:rsid w:val="007D41F2"/>
    <w:rsid w:val="00804140"/>
    <w:rsid w:val="00837191"/>
    <w:rsid w:val="0084229B"/>
    <w:rsid w:val="008D6C6E"/>
    <w:rsid w:val="008E7DB4"/>
    <w:rsid w:val="00920396"/>
    <w:rsid w:val="00926E7D"/>
    <w:rsid w:val="0093298F"/>
    <w:rsid w:val="00950FF2"/>
    <w:rsid w:val="00A76B90"/>
    <w:rsid w:val="00A82346"/>
    <w:rsid w:val="00A82713"/>
    <w:rsid w:val="00AC1A3C"/>
    <w:rsid w:val="00B334F3"/>
    <w:rsid w:val="00B54349"/>
    <w:rsid w:val="00B7291F"/>
    <w:rsid w:val="00B76957"/>
    <w:rsid w:val="00B876AB"/>
    <w:rsid w:val="00C16E32"/>
    <w:rsid w:val="00C25AC4"/>
    <w:rsid w:val="00CF116B"/>
    <w:rsid w:val="00CF2C6A"/>
    <w:rsid w:val="00D04504"/>
    <w:rsid w:val="00D1382D"/>
    <w:rsid w:val="00D21704"/>
    <w:rsid w:val="00D555C3"/>
    <w:rsid w:val="00DA7C39"/>
    <w:rsid w:val="00E34AEB"/>
    <w:rsid w:val="00E35A5C"/>
    <w:rsid w:val="00F3205F"/>
    <w:rsid w:val="00F61491"/>
    <w:rsid w:val="00F73E8A"/>
    <w:rsid w:val="00F76AB9"/>
    <w:rsid w:val="00F878D1"/>
    <w:rsid w:val="00F937D3"/>
    <w:rsid w:val="00F95BE1"/>
    <w:rsid w:val="00FE0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418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A8271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uiPriority w:val="99"/>
    <w:rsid w:val="00080418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0418"/>
  </w:style>
  <w:style w:type="paragraph" w:styleId="a4">
    <w:name w:val="Normal (Web)"/>
    <w:basedOn w:val="a"/>
    <w:uiPriority w:val="99"/>
    <w:rsid w:val="005D4846"/>
    <w:pPr>
      <w:spacing w:before="100" w:beforeAutospacing="1" w:after="100" w:afterAutospacing="1"/>
    </w:pPr>
  </w:style>
  <w:style w:type="paragraph" w:customStyle="1" w:styleId="ConsPlusNormal">
    <w:name w:val="ConsPlusNormal"/>
    <w:rsid w:val="005D484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5">
    <w:name w:val=" Знак"/>
    <w:basedOn w:val="a"/>
    <w:rsid w:val="002A201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2A20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82713"/>
    <w:rPr>
      <w:b/>
      <w:bCs/>
      <w:sz w:val="36"/>
      <w:szCs w:val="36"/>
    </w:rPr>
  </w:style>
  <w:style w:type="paragraph" w:customStyle="1" w:styleId="consplusnormal0">
    <w:name w:val="consplusnormal"/>
    <w:basedOn w:val="a"/>
    <w:rsid w:val="00A82713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80414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470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9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5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st.donland.ru/Data/Sites/18/media/%D0%BC%D0%B5%D1%80%D1%8B%D0%BF%D0%BE%D0%BE%D0%B3%D1%80%D0%B0%D0%BD%D0%B8%D1%87%D0%B5%D0%BD%D0%B8%D1%8E%D0%BF%D0%BB%D0%B0%D1%82%D1%8B/165.doc" TargetMode="External"/><Relationship Id="rId13" Type="http://schemas.openxmlformats.org/officeDocument/2006/relationships/hyperlink" Target="http://rst.donland.ru/Default.aspx?pageid=135975" TargetMode="External"/><Relationship Id="rId3" Type="http://schemas.openxmlformats.org/officeDocument/2006/relationships/styles" Target="styles.xml"/><Relationship Id="rId7" Type="http://schemas.openxmlformats.org/officeDocument/2006/relationships/hyperlink" Target="http://rst.donland.ru/Data/Sites/18/media/%D0%BC%D0%B5%D1%80%D1%8B%D0%BF%D0%BE%D0%BE%D0%B3%D1%80%D0%B0%D0%BD%D0%B8%D1%87%D0%B5%D0%BD%D0%B8%D1%8E%D0%BF%D0%BB%D0%B0%D1%82%D1%8B/165.doc" TargetMode="External"/><Relationship Id="rId12" Type="http://schemas.openxmlformats.org/officeDocument/2006/relationships/hyperlink" Target="http://gzhi.donland.ru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rst.donland.ru/Data/Sites/18/media/%D0%BC%D0%B5%D1%80%D1%8B%D0%BF%D0%BE%D0%BE%D0%B3%D1%80%D0%B0%D0%BD%D0%B8%D1%87%D0%B5%D0%BD%D0%B8%D1%8E%D0%BF%D0%BB%D0%B0%D1%82%D1%8B/325-%D1%80.doc" TargetMode="Externa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rst.donland.ru/Default.aspx?pageid=1251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212.42.44.239:82/" TargetMode="External"/><Relationship Id="rId14" Type="http://schemas.openxmlformats.org/officeDocument/2006/relationships/hyperlink" Target="http://www.fstrf.ru/press/news/197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087000-5E32-4C12-9F6C-BA3070EE2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944</Words>
  <Characters>5383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1 июля 2014 года изменились тарифы на коммунальные услуги</vt:lpstr>
    </vt:vector>
  </TitlesOfParts>
  <Company/>
  <LinksUpToDate>false</LinksUpToDate>
  <CharactersWithSpaces>6315</CharactersWithSpaces>
  <SharedDoc>false</SharedDoc>
  <HLinks>
    <vt:vector size="48" baseType="variant">
      <vt:variant>
        <vt:i4>3932259</vt:i4>
      </vt:variant>
      <vt:variant>
        <vt:i4>21</vt:i4>
      </vt:variant>
      <vt:variant>
        <vt:i4>0</vt:i4>
      </vt:variant>
      <vt:variant>
        <vt:i4>5</vt:i4>
      </vt:variant>
      <vt:variant>
        <vt:lpwstr>http://www.fstrf.ru/press/news/1979</vt:lpwstr>
      </vt:variant>
      <vt:variant>
        <vt:lpwstr/>
      </vt:variant>
      <vt:variant>
        <vt:i4>5111836</vt:i4>
      </vt:variant>
      <vt:variant>
        <vt:i4>18</vt:i4>
      </vt:variant>
      <vt:variant>
        <vt:i4>0</vt:i4>
      </vt:variant>
      <vt:variant>
        <vt:i4>5</vt:i4>
      </vt:variant>
      <vt:variant>
        <vt:lpwstr>http://rst.donland.ru/Default.aspx?pageid=135975</vt:lpwstr>
      </vt:variant>
      <vt:variant>
        <vt:lpwstr/>
      </vt:variant>
      <vt:variant>
        <vt:i4>3932263</vt:i4>
      </vt:variant>
      <vt:variant>
        <vt:i4>15</vt:i4>
      </vt:variant>
      <vt:variant>
        <vt:i4>0</vt:i4>
      </vt:variant>
      <vt:variant>
        <vt:i4>5</vt:i4>
      </vt:variant>
      <vt:variant>
        <vt:lpwstr>http://gzhi.donland.ru/</vt:lpwstr>
      </vt:variant>
      <vt:variant>
        <vt:lpwstr/>
      </vt:variant>
      <vt:variant>
        <vt:i4>4325395</vt:i4>
      </vt:variant>
      <vt:variant>
        <vt:i4>12</vt:i4>
      </vt:variant>
      <vt:variant>
        <vt:i4>0</vt:i4>
      </vt:variant>
      <vt:variant>
        <vt:i4>5</vt:i4>
      </vt:variant>
      <vt:variant>
        <vt:lpwstr>http://rst.donland.ru/Default.aspx?pageid=125180</vt:lpwstr>
      </vt:variant>
      <vt:variant>
        <vt:lpwstr/>
      </vt:variant>
      <vt:variant>
        <vt:i4>1638405</vt:i4>
      </vt:variant>
      <vt:variant>
        <vt:i4>9</vt:i4>
      </vt:variant>
      <vt:variant>
        <vt:i4>0</vt:i4>
      </vt:variant>
      <vt:variant>
        <vt:i4>5</vt:i4>
      </vt:variant>
      <vt:variant>
        <vt:lpwstr>http://212.42.44.239:82/</vt:lpwstr>
      </vt:variant>
      <vt:variant>
        <vt:lpwstr/>
      </vt:variant>
      <vt:variant>
        <vt:i4>6750253</vt:i4>
      </vt:variant>
      <vt:variant>
        <vt:i4>6</vt:i4>
      </vt:variant>
      <vt:variant>
        <vt:i4>0</vt:i4>
      </vt:variant>
      <vt:variant>
        <vt:i4>5</vt:i4>
      </vt:variant>
      <vt:variant>
        <vt:lpwstr>http://rst.donland.ru/Data/Sites/18/media/%D0%BC%D0%B5%D1%80%D1%8B%D0%BF%D0%BE%D0%BE%D0%B3%D1%80%D0%B0%D0%BD%D0%B8%D1%87%D0%B5%D0%BD%D0%B8%D1%8E%D0%BF%D0%BB%D0%B0%D1%82%D1%8B/165.doc</vt:lpwstr>
      </vt:variant>
      <vt:variant>
        <vt:lpwstr/>
      </vt:variant>
      <vt:variant>
        <vt:i4>6750253</vt:i4>
      </vt:variant>
      <vt:variant>
        <vt:i4>3</vt:i4>
      </vt:variant>
      <vt:variant>
        <vt:i4>0</vt:i4>
      </vt:variant>
      <vt:variant>
        <vt:i4>5</vt:i4>
      </vt:variant>
      <vt:variant>
        <vt:lpwstr>http://rst.donland.ru/Data/Sites/18/media/%D0%BC%D0%B5%D1%80%D1%8B%D0%BF%D0%BE%D0%BE%D0%B3%D1%80%D0%B0%D0%BD%D0%B8%D1%87%D0%B5%D0%BD%D0%B8%D1%8E%D0%BF%D0%BB%D0%B0%D1%82%D1%8B/165.doc</vt:lpwstr>
      </vt:variant>
      <vt:variant>
        <vt:lpwstr/>
      </vt:variant>
      <vt:variant>
        <vt:i4>983120</vt:i4>
      </vt:variant>
      <vt:variant>
        <vt:i4>0</vt:i4>
      </vt:variant>
      <vt:variant>
        <vt:i4>0</vt:i4>
      </vt:variant>
      <vt:variant>
        <vt:i4>5</vt:i4>
      </vt:variant>
      <vt:variant>
        <vt:lpwstr>http://rst.donland.ru/Data/Sites/18/media/%D0%BC%D0%B5%D1%80%D1%8B%D0%BF%D0%BE%D0%BE%D0%B3%D1%80%D0%B0%D0%BD%D0%B8%D1%87%D0%B5%D0%BD%D0%B8%D1%8E%D0%BF%D0%BB%D0%B0%D1%82%D1%8B/325-%D1%80.doc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1 июля 2014 года изменились тарифы на коммунальные услуги</dc:title>
  <dc:subject/>
  <dc:creator>doc</dc:creator>
  <cp:keywords/>
  <cp:lastModifiedBy>T.I.</cp:lastModifiedBy>
  <cp:revision>2</cp:revision>
  <cp:lastPrinted>2015-07-13T07:49:00Z</cp:lastPrinted>
  <dcterms:created xsi:type="dcterms:W3CDTF">2015-09-21T12:57:00Z</dcterms:created>
  <dcterms:modified xsi:type="dcterms:W3CDTF">2015-09-21T12:57:00Z</dcterms:modified>
</cp:coreProperties>
</file>